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9" w:rsidRPr="000D67DD" w:rsidRDefault="000D67DD" w:rsidP="00E4586E">
      <w:pPr>
        <w:jc w:val="center"/>
        <w:rPr>
          <w:b/>
          <w:sz w:val="28"/>
          <w:szCs w:val="28"/>
        </w:rPr>
      </w:pPr>
      <w:bookmarkStart w:id="0" w:name="_GoBack"/>
      <w:bookmarkEnd w:id="0"/>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rsidR="00AD0D15" w:rsidRPr="000D67DD" w:rsidRDefault="00C86852" w:rsidP="00AD0D15">
      <w:pPr>
        <w:jc w:val="center"/>
        <w:rPr>
          <w:sz w:val="28"/>
          <w:szCs w:val="28"/>
        </w:rPr>
      </w:pPr>
      <w:r>
        <w:rPr>
          <w:sz w:val="28"/>
          <w:szCs w:val="28"/>
        </w:rPr>
        <w:t>May 11</w:t>
      </w:r>
      <w:r w:rsidR="00F86592">
        <w:rPr>
          <w:sz w:val="28"/>
          <w:szCs w:val="28"/>
        </w:rPr>
        <w:t>, 20</w:t>
      </w:r>
      <w:r>
        <w:rPr>
          <w:sz w:val="28"/>
          <w:szCs w:val="28"/>
        </w:rPr>
        <w:t>20</w:t>
      </w:r>
    </w:p>
    <w:p w:rsidR="009F08A9" w:rsidRDefault="009F08A9" w:rsidP="00E4586E">
      <w:pPr>
        <w:rPr>
          <w:sz w:val="24"/>
        </w:rPr>
      </w:pPr>
    </w:p>
    <w:p w:rsidR="009F08A9" w:rsidRDefault="009F08A9" w:rsidP="00E4586E">
      <w:pPr>
        <w:pStyle w:val="Heading4"/>
      </w:pPr>
      <w:r>
        <w:t>What is Fiscal Year Closing?</w:t>
      </w:r>
    </w:p>
    <w:p w:rsidR="009F08A9" w:rsidRDefault="009F08A9" w:rsidP="00E4586E"/>
    <w:p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rsidR="009F08A9" w:rsidRDefault="009F08A9" w:rsidP="00E4586E">
      <w:pPr>
        <w:rPr>
          <w:sz w:val="24"/>
        </w:rPr>
      </w:pPr>
    </w:p>
    <w:p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rsidR="009F08A9" w:rsidRDefault="009F08A9" w:rsidP="00E4586E">
      <w:pPr>
        <w:rPr>
          <w:sz w:val="24"/>
        </w:rPr>
      </w:pPr>
    </w:p>
    <w:p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rsidR="009F08A9" w:rsidRDefault="009F08A9" w:rsidP="00E4586E">
      <w:pPr>
        <w:rPr>
          <w:sz w:val="24"/>
        </w:rPr>
      </w:pPr>
    </w:p>
    <w:p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rsidR="009F08A9" w:rsidRDefault="009F08A9" w:rsidP="00E4586E">
      <w:pPr>
        <w:rPr>
          <w:sz w:val="24"/>
        </w:rPr>
      </w:pPr>
    </w:p>
    <w:p w:rsidR="009F08A9" w:rsidRDefault="009F08A9" w:rsidP="00E4586E">
      <w:pPr>
        <w:pStyle w:val="Heading6"/>
      </w:pPr>
      <w:r>
        <w:t xml:space="preserve">SELF-SUPPORTING </w:t>
      </w:r>
      <w:r w:rsidR="00F41050">
        <w:t>OPERATIONS</w:t>
      </w:r>
      <w:r>
        <w:t xml:space="preserve"> CLOSING INSTRUCTIONS</w:t>
      </w:r>
    </w:p>
    <w:p w:rsidR="009F08A9" w:rsidRDefault="009F08A9" w:rsidP="00E4586E">
      <w:pPr>
        <w:jc w:val="center"/>
        <w:rPr>
          <w:b/>
          <w:sz w:val="24"/>
        </w:rPr>
      </w:pPr>
    </w:p>
    <w:p w:rsidR="009F08A9" w:rsidRDefault="009F08A9" w:rsidP="00E4586E">
      <w:pPr>
        <w:rPr>
          <w:sz w:val="24"/>
        </w:rPr>
      </w:pPr>
      <w:r>
        <w:rPr>
          <w:sz w:val="24"/>
        </w:rPr>
        <w:t xml:space="preserve">The following is a supplement to the procedures and cutoff dates outlined </w:t>
      </w:r>
      <w:r w:rsidR="008A23FC">
        <w:rPr>
          <w:sz w:val="24"/>
        </w:rPr>
        <w:t>in</w:t>
      </w:r>
      <w:r w:rsidR="00AD0D15">
        <w:rPr>
          <w:sz w:val="24"/>
        </w:rPr>
        <w:t xml:space="preserve"> the FY</w:t>
      </w:r>
      <w:r w:rsidR="00DB0A41">
        <w:rPr>
          <w:sz w:val="24"/>
        </w:rPr>
        <w:t>20</w:t>
      </w:r>
      <w:r w:rsidR="00C86852">
        <w:rPr>
          <w:sz w:val="24"/>
        </w:rPr>
        <w:t>20</w:t>
      </w:r>
      <w:r w:rsidR="00AD0D15">
        <w:rPr>
          <w:sz w:val="24"/>
        </w:rPr>
        <w:t xml:space="preserve"> Fiscal Closing Letter located on Accounting’s website under </w:t>
      </w:r>
      <w:hyperlink r:id="rId8" w:history="1">
        <w:r w:rsidR="00AD0D15" w:rsidRPr="00AF7FFC">
          <w:rPr>
            <w:rStyle w:val="Hyperlink"/>
            <w:sz w:val="24"/>
          </w:rPr>
          <w:t xml:space="preserve">Fiscal </w:t>
        </w:r>
        <w:r w:rsidR="00AD0D15" w:rsidRPr="00AF7FFC">
          <w:rPr>
            <w:rStyle w:val="Hyperlink"/>
            <w:sz w:val="24"/>
          </w:rPr>
          <w:t>Y</w:t>
        </w:r>
        <w:r w:rsidR="00AD0D15" w:rsidRPr="00AF7FFC">
          <w:rPr>
            <w:rStyle w:val="Hyperlink"/>
            <w:sz w:val="24"/>
          </w:rPr>
          <w:t>ear</w:t>
        </w:r>
        <w:r w:rsidR="00AD0D15" w:rsidRPr="00AF7FFC">
          <w:rPr>
            <w:rStyle w:val="Hyperlink"/>
            <w:sz w:val="24"/>
          </w:rPr>
          <w:t xml:space="preserve"> </w:t>
        </w:r>
        <w:r w:rsidR="00AD0D15" w:rsidRPr="00AF7FFC">
          <w:rPr>
            <w:rStyle w:val="Hyperlink"/>
            <w:sz w:val="24"/>
          </w:rPr>
          <w:t>End</w:t>
        </w:r>
      </w:hyperlink>
      <w:r w:rsidR="005028F1">
        <w:rPr>
          <w:sz w:val="24"/>
        </w:rPr>
        <w:t xml:space="preserve">.  </w:t>
      </w:r>
      <w:r w:rsidR="00D33485">
        <w:rPr>
          <w:b/>
          <w:sz w:val="24"/>
        </w:rPr>
        <w:t xml:space="preserve">Please refer to the </w:t>
      </w:r>
      <w:r w:rsidR="00AD0D15">
        <w:rPr>
          <w:b/>
          <w:sz w:val="24"/>
        </w:rPr>
        <w:t>FY</w:t>
      </w:r>
      <w:r w:rsidR="00DB0A41">
        <w:rPr>
          <w:b/>
          <w:sz w:val="24"/>
        </w:rPr>
        <w:t>20</w:t>
      </w:r>
      <w:r w:rsidR="00233249">
        <w:rPr>
          <w:b/>
          <w:sz w:val="24"/>
        </w:rPr>
        <w:t>20</w:t>
      </w:r>
      <w:r w:rsidR="00AD0D15">
        <w:rPr>
          <w:b/>
          <w:sz w:val="24"/>
        </w:rPr>
        <w:t xml:space="preserve"> </w:t>
      </w:r>
      <w:r w:rsidR="00D33485">
        <w:rPr>
          <w:b/>
          <w:sz w:val="24"/>
        </w:rPr>
        <w:t xml:space="preserve">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rsidR="009F08A9" w:rsidRDefault="009F08A9" w:rsidP="00E4586E">
      <w:pPr>
        <w:rPr>
          <w:sz w:val="24"/>
        </w:rPr>
      </w:pPr>
    </w:p>
    <w:p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9" w:history="1"/>
      <w:r>
        <w:rPr>
          <w:sz w:val="24"/>
        </w:rPr>
        <w:t xml:space="preserve">There is </w:t>
      </w:r>
      <w:r>
        <w:rPr>
          <w:sz w:val="24"/>
        </w:rPr>
        <w:lastRenderedPageBreak/>
        <w:t>a sample of how one can reconcile May thro</w:t>
      </w:r>
      <w:r w:rsidR="00AD0D15">
        <w:rPr>
          <w:sz w:val="24"/>
        </w:rPr>
        <w:t>ugh June’s ledgers available on Accounting’s website under Fiscal Year End</w:t>
      </w:r>
      <w:r>
        <w:rPr>
          <w:sz w:val="24"/>
        </w:rPr>
        <w:t>.</w:t>
      </w:r>
    </w:p>
    <w:p w:rsidR="009F08A9" w:rsidRDefault="009F08A9" w:rsidP="00E4586E">
      <w:pPr>
        <w:rPr>
          <w:sz w:val="24"/>
        </w:rPr>
      </w:pPr>
    </w:p>
    <w:p w:rsidR="009203DE" w:rsidRDefault="007353B9" w:rsidP="00E115DC">
      <w:pPr>
        <w:rPr>
          <w:sz w:val="24"/>
          <w:szCs w:val="24"/>
        </w:rPr>
      </w:pPr>
      <w:r w:rsidRPr="007353B9">
        <w:rPr>
          <w:sz w:val="24"/>
        </w:rPr>
        <w:t>Please refer to the FY</w:t>
      </w:r>
      <w:r w:rsidR="00DB0A41">
        <w:rPr>
          <w:sz w:val="24"/>
        </w:rPr>
        <w:t>20</w:t>
      </w:r>
      <w:r w:rsidR="00233249">
        <w:rPr>
          <w:sz w:val="24"/>
        </w:rPr>
        <w:t>20</w:t>
      </w:r>
      <w:r w:rsidRPr="007353B9">
        <w:rPr>
          <w:sz w:val="24"/>
        </w:rPr>
        <w:t xml:space="preserve"> Fiscal Closing Letter for procedures for submitting accruals and deferrals of revenue and expenses.  T</w:t>
      </w:r>
      <w:r w:rsidR="00587456" w:rsidRPr="007353B9">
        <w:rPr>
          <w:sz w:val="24"/>
          <w:szCs w:val="24"/>
        </w:rPr>
        <w:t>he</w:t>
      </w:r>
      <w:r w:rsidR="00587456" w:rsidRPr="009203DE">
        <w:rPr>
          <w:sz w:val="24"/>
          <w:szCs w:val="24"/>
        </w:rPr>
        <w:t xml:space="preserve"> department will retain supportive detailed documents for their </w:t>
      </w:r>
      <w:r w:rsidR="00D33485">
        <w:rPr>
          <w:sz w:val="24"/>
          <w:szCs w:val="24"/>
        </w:rPr>
        <w:t>accruals and deferrals.</w:t>
      </w:r>
      <w:r w:rsidR="00587456"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w:t>
      </w:r>
    </w:p>
    <w:p w:rsidR="007353B9" w:rsidRDefault="007353B9" w:rsidP="007353B9">
      <w:pPr>
        <w:ind w:left="90"/>
        <w:rPr>
          <w:sz w:val="24"/>
          <w:szCs w:val="24"/>
        </w:rPr>
      </w:pPr>
    </w:p>
    <w:p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rsidR="009F08A9" w:rsidRPr="009203DE" w:rsidRDefault="009203DE" w:rsidP="00E4586E">
      <w:pPr>
        <w:pStyle w:val="BodyText2"/>
        <w:rPr>
          <w:sz w:val="24"/>
          <w:szCs w:val="24"/>
        </w:rPr>
      </w:pPr>
      <w:r>
        <w:rPr>
          <w:sz w:val="24"/>
          <w:szCs w:val="24"/>
        </w:rPr>
        <w:t>Combined gross revenues include internal and external revenue sources.</w:t>
      </w:r>
    </w:p>
    <w:p w:rsidR="009F08A9" w:rsidRDefault="009F08A9" w:rsidP="00E4586E">
      <w:pPr>
        <w:rPr>
          <w:b/>
          <w:sz w:val="24"/>
          <w:u w:val="single"/>
        </w:rPr>
      </w:pPr>
    </w:p>
    <w:p w:rsidR="009F08A9" w:rsidRDefault="001E748C" w:rsidP="00E4586E">
      <w:pPr>
        <w:rPr>
          <w:b/>
          <w:sz w:val="24"/>
          <w:u w:val="single"/>
        </w:rPr>
      </w:pPr>
      <w:r>
        <w:rPr>
          <w:b/>
          <w:sz w:val="24"/>
        </w:rPr>
        <w:t>The following</w:t>
      </w:r>
      <w:r w:rsidR="006B471D">
        <w:rPr>
          <w:b/>
          <w:sz w:val="24"/>
        </w:rPr>
        <w:t xml:space="preserve"> is additional guidance for your reference.</w:t>
      </w:r>
      <w:r>
        <w:rPr>
          <w:b/>
          <w:sz w:val="24"/>
        </w:rPr>
        <w:t xml:space="preserve"> </w:t>
      </w:r>
    </w:p>
    <w:p w:rsidR="009F08A9" w:rsidRDefault="009F08A9" w:rsidP="00E4586E">
      <w:pPr>
        <w:rPr>
          <w:b/>
          <w:sz w:val="24"/>
          <w:u w:val="single"/>
        </w:rPr>
      </w:pPr>
    </w:p>
    <w:p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00DB0A41">
        <w:rPr>
          <w:sz w:val="24"/>
          <w:szCs w:val="24"/>
          <w:u w:val="single"/>
        </w:rPr>
        <w:t xml:space="preserve">has been received </w:t>
      </w:r>
      <w:r w:rsidRPr="00E965FD">
        <w:rPr>
          <w:sz w:val="24"/>
          <w:szCs w:val="24"/>
          <w:u w:val="single"/>
        </w:rPr>
        <w:t xml:space="preserve">by June </w:t>
      </w:r>
      <w:proofErr w:type="gramStart"/>
      <w:r w:rsidRPr="00E965FD">
        <w:rPr>
          <w:sz w:val="24"/>
          <w:szCs w:val="24"/>
          <w:u w:val="single"/>
        </w:rPr>
        <w:t>30th</w:t>
      </w:r>
      <w:proofErr w:type="gramEnd"/>
      <w:r w:rsidRPr="00FA6B9B">
        <w:rPr>
          <w:sz w:val="24"/>
          <w:szCs w:val="24"/>
        </w:rPr>
        <w:t>, but the expense not record</w:t>
      </w:r>
      <w:r w:rsidR="009F08A9" w:rsidRPr="00FA6B9B">
        <w:rPr>
          <w:sz w:val="24"/>
          <w:szCs w:val="24"/>
        </w:rPr>
        <w:t xml:space="preserve">ed in the </w:t>
      </w:r>
      <w:r w:rsidR="00233249">
        <w:rPr>
          <w:sz w:val="24"/>
          <w:szCs w:val="24"/>
        </w:rPr>
        <w:t>FY2020</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rsidR="00FA6B9B" w:rsidRPr="00FA6B9B" w:rsidRDefault="00FA6B9B" w:rsidP="00FA6B9B">
      <w:pPr>
        <w:ind w:left="90"/>
        <w:rPr>
          <w:b/>
          <w:sz w:val="24"/>
        </w:rPr>
      </w:pPr>
    </w:p>
    <w:p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rsidR="00A645CF" w:rsidRDefault="00A645CF" w:rsidP="00E4586E">
      <w:pPr>
        <w:ind w:left="90"/>
        <w:rPr>
          <w:sz w:val="24"/>
        </w:rPr>
      </w:pPr>
    </w:p>
    <w:p w:rsidR="00A645CF" w:rsidRDefault="00A645CF" w:rsidP="00E4586E">
      <w:pPr>
        <w:ind w:left="90"/>
        <w:rPr>
          <w:b/>
          <w:sz w:val="24"/>
          <w:szCs w:val="24"/>
          <w:u w:val="single"/>
        </w:rPr>
      </w:pPr>
      <w:r w:rsidRPr="00A645CF">
        <w:rPr>
          <w:b/>
          <w:sz w:val="24"/>
          <w:szCs w:val="24"/>
          <w:u w:val="single"/>
        </w:rPr>
        <w:t>R</w:t>
      </w:r>
      <w:r>
        <w:rPr>
          <w:b/>
          <w:sz w:val="24"/>
          <w:szCs w:val="24"/>
          <w:u w:val="single"/>
        </w:rPr>
        <w:t>EVIEW BI-WEEKLY PAYROLL AND TIME &amp; ATTENDANCE SYSTEM FOR POSSIBLE ACCRUALS</w:t>
      </w:r>
    </w:p>
    <w:p w:rsidR="00F86592" w:rsidRDefault="00F86592" w:rsidP="00E4586E">
      <w:pPr>
        <w:ind w:left="90"/>
        <w:rPr>
          <w:b/>
          <w:sz w:val="24"/>
          <w:szCs w:val="24"/>
          <w:u w:val="single"/>
        </w:rPr>
      </w:pPr>
    </w:p>
    <w:p w:rsidR="00FE2A5B" w:rsidRPr="00233249" w:rsidRDefault="00FE2A5B" w:rsidP="00F86592">
      <w:pPr>
        <w:ind w:left="90"/>
        <w:rPr>
          <w:sz w:val="24"/>
          <w:szCs w:val="24"/>
          <w:u w:val="single"/>
        </w:rPr>
      </w:pPr>
      <w:r w:rsidRPr="00233249">
        <w:rPr>
          <w:sz w:val="24"/>
          <w:szCs w:val="24"/>
        </w:rPr>
        <w:t xml:space="preserve">Due to the biweekly payroll cycle, approximately </w:t>
      </w:r>
      <w:r w:rsidR="007213BB" w:rsidRPr="00233249">
        <w:rPr>
          <w:sz w:val="24"/>
          <w:szCs w:val="24"/>
        </w:rPr>
        <w:t>10</w:t>
      </w:r>
      <w:r w:rsidRPr="00233249">
        <w:rPr>
          <w:sz w:val="24"/>
          <w:szCs w:val="24"/>
        </w:rPr>
        <w:t xml:space="preserve">0% of the pay for this group </w:t>
      </w:r>
      <w:proofErr w:type="gramStart"/>
      <w:r w:rsidRPr="00233249">
        <w:rPr>
          <w:sz w:val="24"/>
          <w:szCs w:val="24"/>
        </w:rPr>
        <w:t>will</w:t>
      </w:r>
      <w:r w:rsidR="00233249">
        <w:rPr>
          <w:sz w:val="24"/>
          <w:szCs w:val="24"/>
        </w:rPr>
        <w:t xml:space="preserve"> not be reflected</w:t>
      </w:r>
      <w:proofErr w:type="gramEnd"/>
      <w:r w:rsidR="00233249">
        <w:rPr>
          <w:sz w:val="24"/>
          <w:szCs w:val="24"/>
        </w:rPr>
        <w:t xml:space="preserve"> on the 06/30/20</w:t>
      </w:r>
      <w:r w:rsidRPr="00233249">
        <w:rPr>
          <w:sz w:val="24"/>
          <w:szCs w:val="24"/>
        </w:rPr>
        <w:t xml:space="preserve"> ledgers.  It is recommended that service and auxiliary enterprises* determine if an accrual should be s</w:t>
      </w:r>
      <w:r w:rsidR="00233249">
        <w:rPr>
          <w:sz w:val="24"/>
          <w:szCs w:val="24"/>
        </w:rPr>
        <w:t>ubmitted for the pay period 06/2</w:t>
      </w:r>
      <w:r w:rsidR="007213BB" w:rsidRPr="00233249">
        <w:rPr>
          <w:sz w:val="24"/>
          <w:szCs w:val="24"/>
        </w:rPr>
        <w:t>8</w:t>
      </w:r>
      <w:r w:rsidRPr="00233249">
        <w:rPr>
          <w:sz w:val="24"/>
          <w:szCs w:val="24"/>
        </w:rPr>
        <w:t>-06/30/</w:t>
      </w:r>
      <w:r w:rsidR="00233249">
        <w:rPr>
          <w:sz w:val="24"/>
          <w:szCs w:val="24"/>
        </w:rPr>
        <w:t>20</w:t>
      </w:r>
      <w:r w:rsidRPr="00233249">
        <w:rPr>
          <w:sz w:val="24"/>
          <w:szCs w:val="24"/>
        </w:rPr>
        <w:t xml:space="preserve"> based on materiality by FAU.  If an accrual </w:t>
      </w:r>
      <w:proofErr w:type="gramStart"/>
      <w:r w:rsidRPr="00233249">
        <w:rPr>
          <w:sz w:val="24"/>
          <w:szCs w:val="24"/>
        </w:rPr>
        <w:t>will be submitted</w:t>
      </w:r>
      <w:proofErr w:type="gramEnd"/>
      <w:r w:rsidRPr="00233249">
        <w:rPr>
          <w:sz w:val="24"/>
          <w:szCs w:val="24"/>
        </w:rPr>
        <w:t xml:space="preserve">, complete the special accrual form </w:t>
      </w:r>
      <w:r w:rsidR="002251B9" w:rsidRPr="00233249">
        <w:rPr>
          <w:sz w:val="24"/>
          <w:szCs w:val="24"/>
        </w:rPr>
        <w:t>for Bi-weekly payroll accrual</w:t>
      </w:r>
      <w:r w:rsidRPr="00233249">
        <w:rPr>
          <w:sz w:val="24"/>
          <w:szCs w:val="24"/>
        </w:rPr>
        <w:t>.</w:t>
      </w:r>
    </w:p>
    <w:p w:rsidR="00A645CF" w:rsidRDefault="00FE2A5B" w:rsidP="00F86592">
      <w:pPr>
        <w:ind w:firstLine="90"/>
      </w:pPr>
      <w:r>
        <w:t>*all other fund groups will be booked at a consolidated level for financial reporting purposes by Accounting.</w:t>
      </w:r>
    </w:p>
    <w:p w:rsidR="00F86592" w:rsidRDefault="00F86592" w:rsidP="00E965FD">
      <w:pPr>
        <w:ind w:left="90" w:firstLine="162"/>
      </w:pPr>
    </w:p>
    <w:p w:rsidR="00F86592" w:rsidRDefault="00F86592" w:rsidP="00E965FD">
      <w:pPr>
        <w:ind w:left="90" w:firstLine="162"/>
      </w:pPr>
    </w:p>
    <w:p w:rsidR="00F86592" w:rsidRPr="00A645CF" w:rsidRDefault="00F86592" w:rsidP="00E965FD">
      <w:pPr>
        <w:ind w:left="90" w:firstLine="162"/>
        <w:rPr>
          <w:sz w:val="24"/>
          <w:szCs w:val="24"/>
        </w:rPr>
      </w:pPr>
    </w:p>
    <w:p w:rsidR="009F08A9" w:rsidRDefault="009F08A9" w:rsidP="00E4586E">
      <w:pPr>
        <w:ind w:left="720"/>
        <w:rPr>
          <w:sz w:val="24"/>
        </w:rPr>
      </w:pPr>
    </w:p>
    <w:p w:rsidR="009F08A9" w:rsidRPr="00D25829" w:rsidRDefault="009F08A9" w:rsidP="00DB0A41">
      <w:pPr>
        <w:ind w:left="90"/>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rsidR="00FA6B9B" w:rsidRDefault="009F08A9" w:rsidP="00DB0A41">
      <w:pPr>
        <w:ind w:left="90"/>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rsidR="00FA6B9B" w:rsidRDefault="00FA6B9B" w:rsidP="00E4586E">
      <w:pPr>
        <w:rPr>
          <w:sz w:val="24"/>
        </w:rPr>
      </w:pPr>
    </w:p>
    <w:p w:rsidR="009F08A9" w:rsidRPr="00D25829" w:rsidRDefault="00587456" w:rsidP="00E4586E">
      <w:pPr>
        <w:rPr>
          <w:sz w:val="24"/>
          <w:u w:val="single"/>
        </w:rPr>
      </w:pPr>
      <w:r w:rsidRPr="00D25829">
        <w:rPr>
          <w:b/>
          <w:sz w:val="24"/>
          <w:u w:val="single"/>
        </w:rPr>
        <w:lastRenderedPageBreak/>
        <w:t xml:space="preserve">PURCHASE ORDERS, BLANKET ORDERS, </w:t>
      </w:r>
      <w:proofErr w:type="spellStart"/>
      <w:r w:rsidR="00E81E07" w:rsidRPr="00D25829">
        <w:rPr>
          <w:b/>
          <w:sz w:val="24"/>
          <w:u w:val="single"/>
        </w:rPr>
        <w:t>ePAY</w:t>
      </w:r>
      <w:proofErr w:type="spellEnd"/>
      <w:r w:rsidR="00765AAF" w:rsidRPr="00D25829">
        <w:rPr>
          <w:b/>
          <w:sz w:val="24"/>
          <w:u w:val="single"/>
        </w:rPr>
        <w:t xml:space="preserve"> R</w:t>
      </w:r>
      <w:r w:rsidR="00E81E07" w:rsidRPr="00D25829">
        <w:rPr>
          <w:b/>
          <w:sz w:val="24"/>
          <w:u w:val="single"/>
        </w:rPr>
        <w:t>EQUESTS</w:t>
      </w:r>
    </w:p>
    <w:p w:rsidR="006B471D" w:rsidRDefault="009F08A9" w:rsidP="006B471D">
      <w:pPr>
        <w:rPr>
          <w:sz w:val="24"/>
          <w:szCs w:val="24"/>
        </w:rPr>
      </w:pPr>
      <w:r>
        <w:rPr>
          <w:sz w:val="24"/>
        </w:rPr>
        <w:t xml:space="preserve">Review all outstanding (yet to be paid) purchase orders, blanket orders, and </w:t>
      </w:r>
      <w:proofErr w:type="spellStart"/>
      <w:r w:rsidR="00765AAF">
        <w:rPr>
          <w:sz w:val="24"/>
        </w:rPr>
        <w:t>ePay</w:t>
      </w:r>
      <w:proofErr w:type="spellEnd"/>
      <w:r w:rsidR="00765AAF">
        <w:rPr>
          <w:sz w:val="24"/>
        </w:rPr>
        <w:t xml:space="preserve">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rsidR="009F08A9" w:rsidRDefault="009F08A9" w:rsidP="00E4586E">
      <w:pPr>
        <w:rPr>
          <w:b/>
          <w:sz w:val="24"/>
          <w:u w:val="single"/>
        </w:rPr>
      </w:pPr>
    </w:p>
    <w:p w:rsidR="009F08A9" w:rsidRDefault="009F08A9" w:rsidP="00E4586E">
      <w:pPr>
        <w:rPr>
          <w:b/>
          <w:bCs/>
          <w:sz w:val="24"/>
        </w:rPr>
      </w:pPr>
      <w:r>
        <w:rPr>
          <w:b/>
          <w:bCs/>
          <w:sz w:val="24"/>
        </w:rPr>
        <w:t>Examples of goods and services you may accrue:</w:t>
      </w:r>
    </w:p>
    <w:p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rsidR="009F08A9" w:rsidRDefault="009F08A9" w:rsidP="00E4586E">
      <w:pPr>
        <w:rPr>
          <w:sz w:val="24"/>
        </w:rPr>
      </w:pPr>
      <w:r>
        <w:rPr>
          <w:sz w:val="24"/>
        </w:rPr>
        <w:t>Temp employment services</w:t>
      </w:r>
      <w:r>
        <w:rPr>
          <w:sz w:val="24"/>
        </w:rPr>
        <w:tab/>
      </w:r>
      <w:r>
        <w:rPr>
          <w:sz w:val="24"/>
        </w:rPr>
        <w:tab/>
        <w:t>Equipment rental/lease</w:t>
      </w:r>
    </w:p>
    <w:p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rsidR="00765AAF" w:rsidRDefault="009F08A9" w:rsidP="00E4586E">
      <w:pPr>
        <w:rPr>
          <w:sz w:val="24"/>
        </w:rPr>
      </w:pPr>
      <w:r>
        <w:rPr>
          <w:sz w:val="24"/>
        </w:rPr>
        <w:t>Property insurance expenses</w:t>
      </w:r>
      <w:r>
        <w:rPr>
          <w:sz w:val="24"/>
        </w:rPr>
        <w:tab/>
      </w:r>
      <w:r>
        <w:rPr>
          <w:sz w:val="24"/>
        </w:rPr>
        <w:tab/>
        <w:t>Memberships</w:t>
      </w:r>
    </w:p>
    <w:p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rsidR="009F08A9" w:rsidRDefault="009F08A9" w:rsidP="00E4586E">
      <w:pPr>
        <w:rPr>
          <w:b/>
          <w:sz w:val="24"/>
          <w:u w:val="single"/>
        </w:rPr>
      </w:pPr>
    </w:p>
    <w:p w:rsidR="009F08A9" w:rsidRDefault="009F08A9" w:rsidP="00E4586E">
      <w:pPr>
        <w:ind w:right="-630"/>
        <w:rPr>
          <w:b/>
          <w:sz w:val="24"/>
          <w:u w:val="single"/>
        </w:rPr>
      </w:pPr>
      <w:r>
        <w:rPr>
          <w:b/>
          <w:sz w:val="24"/>
          <w:u w:val="single"/>
        </w:rPr>
        <w:t>ACCRUAL OF INTERNAL INCOME/RECHARGE  (Only for Self-Supporting Units)</w:t>
      </w:r>
    </w:p>
    <w:p w:rsidR="009F08A9" w:rsidRDefault="009F08A9" w:rsidP="00E4586E">
      <w:pPr>
        <w:rPr>
          <w:bCs/>
          <w:sz w:val="24"/>
        </w:rPr>
      </w:pPr>
      <w:r>
        <w:rPr>
          <w:bCs/>
          <w:sz w:val="24"/>
        </w:rPr>
        <w:t xml:space="preserve">Review your June </w:t>
      </w:r>
      <w:proofErr w:type="gramStart"/>
      <w:r>
        <w:rPr>
          <w:bCs/>
          <w:sz w:val="24"/>
        </w:rPr>
        <w:t>30</w:t>
      </w:r>
      <w:r>
        <w:rPr>
          <w:bCs/>
          <w:sz w:val="24"/>
          <w:vertAlign w:val="superscript"/>
        </w:rPr>
        <w:t>th</w:t>
      </w:r>
      <w:proofErr w:type="gramEnd"/>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233249">
        <w:rPr>
          <w:bCs/>
          <w:sz w:val="24"/>
        </w:rPr>
        <w:t>FY2020</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233249">
        <w:rPr>
          <w:bCs/>
          <w:sz w:val="24"/>
        </w:rPr>
        <w:t>FY2020</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DB0A41">
        <w:rPr>
          <w:bCs/>
          <w:sz w:val="24"/>
        </w:rPr>
        <w:t>20</w:t>
      </w:r>
      <w:r w:rsidR="00233249">
        <w:rPr>
          <w:bCs/>
          <w:sz w:val="24"/>
        </w:rPr>
        <w:t>20</w:t>
      </w:r>
      <w:r w:rsidR="00D84BB6">
        <w:rPr>
          <w:bCs/>
          <w:sz w:val="24"/>
        </w:rPr>
        <w:t xml:space="preserve"> journal feed, because it needs to offset the reversal of the accrual posted on July 1.</w:t>
      </w:r>
      <w:r w:rsidR="00E06840">
        <w:rPr>
          <w:bCs/>
          <w:sz w:val="24"/>
        </w:rPr>
        <w:t xml:space="preserve"> </w:t>
      </w:r>
    </w:p>
    <w:p w:rsidR="00D25829" w:rsidRDefault="00D25829" w:rsidP="00E4586E">
      <w:pPr>
        <w:rPr>
          <w:bCs/>
          <w:sz w:val="24"/>
        </w:rPr>
      </w:pPr>
    </w:p>
    <w:p w:rsidR="009F08A9" w:rsidRDefault="009F08A9" w:rsidP="00E4586E">
      <w:pPr>
        <w:rPr>
          <w:b/>
          <w:sz w:val="24"/>
          <w:u w:val="single"/>
        </w:rPr>
      </w:pPr>
      <w:r>
        <w:rPr>
          <w:b/>
          <w:sz w:val="24"/>
          <w:u w:val="single"/>
        </w:rPr>
        <w:t>ACCRUAL OF  EXT</w:t>
      </w:r>
      <w:r w:rsidR="00D25829">
        <w:rPr>
          <w:b/>
          <w:sz w:val="24"/>
          <w:u w:val="single"/>
        </w:rPr>
        <w:t>ERNAL  INCOME</w:t>
      </w:r>
    </w:p>
    <w:p w:rsidR="009F08A9" w:rsidRDefault="009F08A9" w:rsidP="00E4586E">
      <w:pPr>
        <w:rPr>
          <w:bCs/>
          <w:sz w:val="24"/>
        </w:rPr>
      </w:pPr>
      <w:r>
        <w:rPr>
          <w:bCs/>
          <w:sz w:val="24"/>
        </w:rPr>
        <w:t xml:space="preserve">Review your June </w:t>
      </w:r>
      <w:proofErr w:type="gramStart"/>
      <w:r>
        <w:rPr>
          <w:bCs/>
          <w:sz w:val="24"/>
        </w:rPr>
        <w:t>30</w:t>
      </w:r>
      <w:r>
        <w:rPr>
          <w:bCs/>
          <w:sz w:val="24"/>
          <w:vertAlign w:val="superscript"/>
        </w:rPr>
        <w:t>th</w:t>
      </w:r>
      <w:proofErr w:type="gramEnd"/>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233249">
        <w:rPr>
          <w:bCs/>
          <w:sz w:val="24"/>
        </w:rPr>
        <w:t>FY2020</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233249">
        <w:rPr>
          <w:bCs/>
          <w:sz w:val="24"/>
        </w:rPr>
        <w:t>FY2020</w:t>
      </w:r>
      <w:r w:rsidR="00DE4E5B">
        <w:rPr>
          <w:bCs/>
          <w:sz w:val="24"/>
        </w:rPr>
        <w:t>.</w:t>
      </w:r>
    </w:p>
    <w:p w:rsidR="009F08A9" w:rsidRDefault="009F08A9" w:rsidP="00300106">
      <w:pPr>
        <w:pStyle w:val="Heading1"/>
        <w:spacing w:before="240"/>
        <w:ind w:left="0" w:firstLine="0"/>
      </w:pPr>
      <w:r>
        <w:t xml:space="preserve">DEFERAL OF </w:t>
      </w:r>
      <w:r w:rsidR="00587456">
        <w:t>EXTERNAL INCOME</w:t>
      </w:r>
    </w:p>
    <w:p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rsidR="0030503B" w:rsidRDefault="0030503B" w:rsidP="00E4586E">
      <w:pPr>
        <w:rPr>
          <w:b/>
          <w:bCs/>
          <w:sz w:val="24"/>
        </w:rPr>
      </w:pPr>
    </w:p>
    <w:p w:rsidR="009F08A9" w:rsidRDefault="009F08A9" w:rsidP="00E4586E">
      <w:pPr>
        <w:rPr>
          <w:i/>
          <w:sz w:val="24"/>
          <w:u w:val="single"/>
        </w:rPr>
      </w:pPr>
      <w:r>
        <w:rPr>
          <w:b/>
          <w:sz w:val="24"/>
          <w:u w:val="single"/>
        </w:rPr>
        <w:t>ENDING INVENTORY</w:t>
      </w:r>
    </w:p>
    <w:p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w:t>
      </w:r>
      <w:r w:rsidRPr="00233249">
        <w:rPr>
          <w:b/>
          <w:sz w:val="24"/>
        </w:rPr>
        <w:t>can</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rsidR="009F08A9" w:rsidRDefault="009F08A9" w:rsidP="00E4586E">
      <w:pPr>
        <w:rPr>
          <w:sz w:val="24"/>
        </w:rPr>
      </w:pPr>
    </w:p>
    <w:p w:rsidR="00F51417" w:rsidRDefault="009F08A9" w:rsidP="00E4586E">
      <w:pPr>
        <w:rPr>
          <w:sz w:val="24"/>
          <w:szCs w:val="24"/>
        </w:rPr>
      </w:pPr>
      <w:r>
        <w:rPr>
          <w:b/>
          <w:sz w:val="24"/>
        </w:rPr>
        <w:lastRenderedPageBreak/>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rsidR="00300106" w:rsidRPr="00F51417" w:rsidRDefault="00300106" w:rsidP="00E4586E">
      <w:pPr>
        <w:rPr>
          <w:b/>
          <w:sz w:val="24"/>
        </w:rPr>
      </w:pPr>
    </w:p>
    <w:p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rsidR="009F08A9" w:rsidRDefault="009F08A9" w:rsidP="00E4586E">
      <w:pPr>
        <w:rPr>
          <w:sz w:val="24"/>
        </w:rPr>
      </w:pPr>
    </w:p>
    <w:p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rsidR="009F08A9" w:rsidRDefault="009F08A9" w:rsidP="00E4586E">
      <w:pPr>
        <w:rPr>
          <w:b/>
          <w:sz w:val="24"/>
          <w:u w:val="single"/>
        </w:rPr>
      </w:pPr>
    </w:p>
    <w:p w:rsidR="009F08A9" w:rsidRDefault="009F08A9" w:rsidP="00E4586E">
      <w:pPr>
        <w:pStyle w:val="Heading2"/>
        <w:tabs>
          <w:tab w:val="clear" w:pos="0"/>
        </w:tabs>
        <w:ind w:left="0" w:firstLine="0"/>
        <w:rPr>
          <w:bCs/>
        </w:rPr>
      </w:pPr>
      <w:r>
        <w:t>PREPAID EXPENSES</w:t>
      </w:r>
    </w:p>
    <w:p w:rsidR="009F08A9" w:rsidRPr="00300106" w:rsidRDefault="009F08A9" w:rsidP="00E4586E">
      <w:pPr>
        <w:rPr>
          <w:sz w:val="24"/>
          <w:szCs w:val="24"/>
        </w:rPr>
      </w:pPr>
      <w:r>
        <w:rPr>
          <w:bCs/>
          <w:sz w:val="24"/>
        </w:rPr>
        <w:t xml:space="preserve">Review your June </w:t>
      </w:r>
      <w:proofErr w:type="gramStart"/>
      <w:r>
        <w:rPr>
          <w:bCs/>
          <w:sz w:val="24"/>
        </w:rPr>
        <w:t>30</w:t>
      </w:r>
      <w:r>
        <w:rPr>
          <w:bCs/>
          <w:sz w:val="24"/>
          <w:vertAlign w:val="superscript"/>
        </w:rPr>
        <w:t>th</w:t>
      </w:r>
      <w:proofErr w:type="gramEnd"/>
      <w:r>
        <w:rPr>
          <w:bCs/>
          <w:sz w:val="24"/>
        </w:rPr>
        <w:t xml:space="preserve"> ledgers as of July </w:t>
      </w:r>
      <w:r w:rsidR="0051324B">
        <w:rPr>
          <w:bCs/>
          <w:sz w:val="24"/>
        </w:rPr>
        <w:t>1st</w:t>
      </w:r>
      <w:r>
        <w:rPr>
          <w:bCs/>
          <w:sz w:val="24"/>
        </w:rPr>
        <w:t xml:space="preserve"> and determine if any expenses recorded in </w:t>
      </w:r>
      <w:r w:rsidR="00233249">
        <w:rPr>
          <w:bCs/>
          <w:sz w:val="24"/>
        </w:rPr>
        <w:t>FY2020</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rsidR="009F08A9" w:rsidRDefault="009F08A9" w:rsidP="00E4586E">
      <w:pPr>
        <w:rPr>
          <w:b/>
          <w:sz w:val="24"/>
          <w:u w:val="single"/>
        </w:rPr>
      </w:pPr>
    </w:p>
    <w:p w:rsidR="009F08A9" w:rsidRDefault="009F08A9" w:rsidP="00E4586E">
      <w:pPr>
        <w:rPr>
          <w:sz w:val="24"/>
        </w:rPr>
      </w:pPr>
      <w:r>
        <w:rPr>
          <w:b/>
          <w:sz w:val="24"/>
          <w:u w:val="single"/>
        </w:rPr>
        <w:t>MISCELLANEOUS</w:t>
      </w:r>
      <w:r>
        <w:rPr>
          <w:b/>
          <w:sz w:val="24"/>
        </w:rPr>
        <w:t xml:space="preserve"> </w:t>
      </w:r>
    </w:p>
    <w:p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rsidR="00587456" w:rsidRDefault="00587456" w:rsidP="00E4586E">
      <w:pPr>
        <w:ind w:firstLine="630"/>
        <w:rPr>
          <w:b/>
          <w:sz w:val="24"/>
          <w:u w:val="single"/>
        </w:rPr>
      </w:pPr>
    </w:p>
    <w:p w:rsidR="009F08A9" w:rsidRDefault="009F08A9" w:rsidP="00E4586E">
      <w:pPr>
        <w:rPr>
          <w:b/>
          <w:sz w:val="24"/>
          <w:u w:val="single"/>
        </w:rPr>
      </w:pPr>
      <w:r>
        <w:rPr>
          <w:b/>
          <w:sz w:val="24"/>
          <w:u w:val="single"/>
        </w:rPr>
        <w:t>FISCAL CLOSING SPREADSHEET AND TRANSFER OF FUNDS TO CLOSE ACCOUTS/FUNDS/SUBS</w:t>
      </w:r>
    </w:p>
    <w:p w:rsidR="009F08A9" w:rsidRDefault="009F08A9" w:rsidP="00E4586E">
      <w:pPr>
        <w:ind w:firstLine="630"/>
        <w:rPr>
          <w:b/>
          <w:sz w:val="24"/>
          <w:u w:val="single"/>
        </w:rPr>
      </w:pPr>
    </w:p>
    <w:p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233249">
        <w:rPr>
          <w:sz w:val="24"/>
        </w:rPr>
        <w:t>FY2020</w:t>
      </w:r>
      <w:r>
        <w:rPr>
          <w:sz w:val="24"/>
        </w:rPr>
        <w:t xml:space="preserve"> fiscal year that is done after </w:t>
      </w:r>
      <w:r w:rsidR="00233249">
        <w:rPr>
          <w:sz w:val="24"/>
        </w:rPr>
        <w:t>7/01</w:t>
      </w:r>
      <w:r w:rsidR="002251B9">
        <w:rPr>
          <w:sz w:val="24"/>
        </w:rPr>
        <w:t>/</w:t>
      </w:r>
      <w:r w:rsidR="00DB0A41">
        <w:rPr>
          <w:sz w:val="24"/>
        </w:rPr>
        <w:t>20</w:t>
      </w:r>
      <w:r w:rsidR="00233249">
        <w:rPr>
          <w:sz w:val="24"/>
        </w:rPr>
        <w:t>20</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rsidR="00BF7F0F" w:rsidRDefault="00BF7F0F" w:rsidP="00E4586E">
      <w:pPr>
        <w:rPr>
          <w:sz w:val="24"/>
        </w:rPr>
      </w:pPr>
    </w:p>
    <w:p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33249">
        <w:rPr>
          <w:sz w:val="24"/>
        </w:rPr>
        <w:t>July 6</w:t>
      </w:r>
      <w:r w:rsidR="002251B9">
        <w:rPr>
          <w:sz w:val="24"/>
        </w:rPr>
        <w:t xml:space="preserve">, </w:t>
      </w:r>
      <w:r w:rsidR="00233249">
        <w:rPr>
          <w:sz w:val="24"/>
        </w:rPr>
        <w:t>2020</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rsidR="00E71AF7" w:rsidRDefault="00E71AF7" w:rsidP="00E4586E">
      <w:pPr>
        <w:rPr>
          <w:sz w:val="24"/>
        </w:rPr>
      </w:pPr>
    </w:p>
    <w:p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rsidR="00BC10B4" w:rsidRDefault="00BC10B4" w:rsidP="00E4586E">
      <w:pPr>
        <w:rPr>
          <w:b/>
          <w:sz w:val="24"/>
          <w:u w:val="single"/>
        </w:rPr>
      </w:pPr>
    </w:p>
    <w:p w:rsidR="00233249" w:rsidRDefault="00233249" w:rsidP="00E4586E">
      <w:pPr>
        <w:rPr>
          <w:b/>
          <w:sz w:val="24"/>
          <w:u w:val="single"/>
        </w:rPr>
      </w:pPr>
    </w:p>
    <w:p w:rsidR="00233249" w:rsidRDefault="00233249" w:rsidP="00E4586E">
      <w:pPr>
        <w:rPr>
          <w:b/>
          <w:sz w:val="24"/>
          <w:u w:val="single"/>
        </w:rPr>
      </w:pPr>
    </w:p>
    <w:p w:rsidR="009F08A9" w:rsidRDefault="009F08A9" w:rsidP="00E4586E">
      <w:pPr>
        <w:rPr>
          <w:sz w:val="24"/>
        </w:rPr>
      </w:pPr>
      <w:r>
        <w:rPr>
          <w:b/>
          <w:sz w:val="24"/>
          <w:u w:val="single"/>
        </w:rPr>
        <w:lastRenderedPageBreak/>
        <w:t>Examples</w:t>
      </w:r>
      <w:r>
        <w:rPr>
          <w:sz w:val="24"/>
        </w:rPr>
        <w:t>:</w:t>
      </w:r>
    </w:p>
    <w:p w:rsidR="009F08A9" w:rsidRDefault="009F08A9" w:rsidP="00E4586E">
      <w:pPr>
        <w:rPr>
          <w:sz w:val="24"/>
        </w:rPr>
      </w:pPr>
    </w:p>
    <w:p w:rsidR="009F08A9" w:rsidRDefault="009F08A9" w:rsidP="00E4586E">
      <w:pPr>
        <w:pStyle w:val="Heading7"/>
        <w:tabs>
          <w:tab w:val="clear" w:pos="0"/>
        </w:tabs>
        <w:ind w:left="0"/>
        <w:rPr>
          <w:b w:val="0"/>
          <w:bCs w:val="0"/>
        </w:rPr>
      </w:pPr>
      <w:r>
        <w:t>Header Description</w:t>
      </w:r>
    </w:p>
    <w:p w:rsidR="009F08A9" w:rsidRDefault="009F08A9" w:rsidP="00E4586E">
      <w:pPr>
        <w:rPr>
          <w:sz w:val="24"/>
        </w:rPr>
      </w:pPr>
      <w:r>
        <w:rPr>
          <w:sz w:val="24"/>
        </w:rPr>
        <w:t>1.  Recharge (internal) income higher than budgeted due to unanticipated 30% rise in customer demand for typesetting service.</w:t>
      </w:r>
    </w:p>
    <w:p w:rsidR="009F08A9" w:rsidRDefault="009F08A9" w:rsidP="00E4586E">
      <w:pPr>
        <w:rPr>
          <w:sz w:val="24"/>
        </w:rPr>
      </w:pPr>
      <w:r>
        <w:rPr>
          <w:sz w:val="24"/>
        </w:rPr>
        <w:t xml:space="preserve">2.  Maintenance costs higher than projected due to unanticipated $10K major repair on typesetter equipment. </w:t>
      </w:r>
      <w:r>
        <w:rPr>
          <w:sz w:val="24"/>
        </w:rPr>
        <w:tab/>
      </w:r>
    </w:p>
    <w:p w:rsidR="009F08A9" w:rsidRDefault="009F08A9" w:rsidP="00E4586E">
      <w:pPr>
        <w:rPr>
          <w:sz w:val="24"/>
        </w:rPr>
      </w:pPr>
      <w:r>
        <w:rPr>
          <w:sz w:val="24"/>
        </w:rPr>
        <w:tab/>
      </w:r>
      <w:r>
        <w:rPr>
          <w:sz w:val="24"/>
        </w:rPr>
        <w:tab/>
      </w:r>
    </w:p>
    <w:p w:rsidR="009F08A9" w:rsidRDefault="009F08A9" w:rsidP="00E4586E">
      <w:pPr>
        <w:rPr>
          <w:sz w:val="24"/>
        </w:rPr>
      </w:pPr>
      <w:r>
        <w:rPr>
          <w:b/>
          <w:bCs/>
          <w:sz w:val="24"/>
        </w:rPr>
        <w:t>Journal</w:t>
      </w:r>
      <w:r>
        <w:rPr>
          <w:sz w:val="24"/>
        </w:rPr>
        <w:t xml:space="preserve"> </w:t>
      </w:r>
      <w:r>
        <w:rPr>
          <w:b/>
          <w:bCs/>
          <w:sz w:val="24"/>
        </w:rPr>
        <w:t>Line Description</w:t>
      </w:r>
    </w:p>
    <w:p w:rsidR="009F08A9" w:rsidRDefault="009F08A9" w:rsidP="00E4586E">
      <w:pPr>
        <w:rPr>
          <w:sz w:val="24"/>
        </w:rPr>
      </w:pPr>
      <w:r>
        <w:rPr>
          <w:sz w:val="24"/>
        </w:rPr>
        <w:t>1.  30% rise in typesetting servic</w:t>
      </w:r>
      <w:r w:rsidR="00A75F52">
        <w:rPr>
          <w:sz w:val="24"/>
        </w:rPr>
        <w:t>e</w:t>
      </w:r>
    </w:p>
    <w:p w:rsidR="009F08A9" w:rsidRDefault="009F08A9" w:rsidP="00E4586E">
      <w:pPr>
        <w:rPr>
          <w:sz w:val="24"/>
        </w:rPr>
      </w:pPr>
      <w:r>
        <w:rPr>
          <w:sz w:val="24"/>
        </w:rPr>
        <w:t>2.  $10K typesetter equip repair</w:t>
      </w:r>
    </w:p>
    <w:p w:rsidR="00E71AF7" w:rsidRDefault="00E71AF7" w:rsidP="00E4586E">
      <w:pPr>
        <w:rPr>
          <w:sz w:val="24"/>
        </w:rPr>
      </w:pPr>
    </w:p>
    <w:p w:rsidR="00454398" w:rsidRDefault="00454398" w:rsidP="00E4586E">
      <w:pPr>
        <w:rPr>
          <w:sz w:val="28"/>
          <w:szCs w:val="28"/>
        </w:rPr>
      </w:pPr>
      <w:r>
        <w:rPr>
          <w:b/>
          <w:sz w:val="28"/>
          <w:szCs w:val="28"/>
          <w:u w:val="single"/>
        </w:rPr>
        <w:t>ANNUAL TRANSFER FROM OPERATIONS TO ASSET ACQUISITION OR RESERVE FOR EQUIPMENT</w:t>
      </w:r>
    </w:p>
    <w:p w:rsidR="00454398" w:rsidRDefault="00454398" w:rsidP="00E4586E">
      <w:pPr>
        <w:rPr>
          <w:sz w:val="22"/>
          <w:szCs w:val="22"/>
        </w:rPr>
      </w:pPr>
    </w:p>
    <w:p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rsidR="00412915" w:rsidRDefault="00412915" w:rsidP="00E4586E">
      <w:pPr>
        <w:rPr>
          <w:sz w:val="24"/>
        </w:rPr>
      </w:pPr>
    </w:p>
    <w:p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rsidR="007221EC" w:rsidRDefault="007221EC" w:rsidP="00E4586E">
      <w:pPr>
        <w:rPr>
          <w:sz w:val="24"/>
        </w:rPr>
      </w:pPr>
    </w:p>
    <w:p w:rsidR="00412915" w:rsidRDefault="007353B9" w:rsidP="00E4586E">
      <w:pPr>
        <w:rPr>
          <w:sz w:val="24"/>
        </w:rPr>
      </w:pPr>
      <w:r>
        <w:rPr>
          <w:sz w:val="24"/>
        </w:rPr>
        <w:t xml:space="preserve">Please refer to the following documents available on Accounting’s website under </w:t>
      </w:r>
      <w:hyperlink r:id="rId10" w:history="1">
        <w:r w:rsidR="0095515C" w:rsidRPr="00AF7FFC">
          <w:rPr>
            <w:rStyle w:val="Hyperlink"/>
            <w:sz w:val="24"/>
          </w:rPr>
          <w:t>Fiscal Year End</w:t>
        </w:r>
      </w:hyperlink>
      <w:r>
        <w:rPr>
          <w:sz w:val="24"/>
        </w:rPr>
        <w:t xml:space="preserve">: </w:t>
      </w:r>
      <w:r w:rsidR="00307F1D">
        <w:rPr>
          <w:sz w:val="24"/>
        </w:rPr>
        <w:t xml:space="preserve">Service &amp; </w:t>
      </w:r>
      <w:r w:rsidR="00E46173">
        <w:rPr>
          <w:sz w:val="24"/>
        </w:rPr>
        <w:t>Aux</w:t>
      </w:r>
      <w:r w:rsidR="00307F1D">
        <w:rPr>
          <w:sz w:val="24"/>
        </w:rPr>
        <w:t xml:space="preserve"> Enterprise</w:t>
      </w:r>
      <w:r w:rsidR="00E46173">
        <w:rPr>
          <w:sz w:val="24"/>
        </w:rPr>
        <w:t xml:space="preserve"> </w:t>
      </w:r>
      <w:r>
        <w:rPr>
          <w:sz w:val="24"/>
        </w:rPr>
        <w:t xml:space="preserve">Equipment Reserve Transfer-Guide; </w:t>
      </w:r>
      <w:r w:rsidR="00233249">
        <w:rPr>
          <w:sz w:val="24"/>
        </w:rPr>
        <w:t>FY2020</w:t>
      </w:r>
      <w:r>
        <w:rPr>
          <w:sz w:val="24"/>
        </w:rPr>
        <w:t xml:space="preserve"> Service &amp; Aux Equipment Reserve Transfer-Request; and</w:t>
      </w:r>
      <w:r w:rsidR="00E46173">
        <w:rPr>
          <w:b/>
          <w:bCs/>
          <w:sz w:val="24"/>
          <w:szCs w:val="24"/>
        </w:rPr>
        <w:t xml:space="preserve"> </w:t>
      </w:r>
      <w:r w:rsidR="00233249">
        <w:rPr>
          <w:sz w:val="24"/>
        </w:rPr>
        <w:t>FY2020</w:t>
      </w:r>
      <w:r>
        <w:rPr>
          <w:sz w:val="24"/>
        </w:rPr>
        <w:t xml:space="preserve"> Service &amp; Aux Software Reserve Transfer-Request.</w:t>
      </w:r>
    </w:p>
    <w:p w:rsidR="00412915" w:rsidRPr="00454398" w:rsidRDefault="00412915" w:rsidP="00E4586E">
      <w:pPr>
        <w:rPr>
          <w:sz w:val="24"/>
        </w:rPr>
      </w:pPr>
    </w:p>
    <w:p w:rsidR="009F08A9" w:rsidRDefault="009F08A9" w:rsidP="00E4586E">
      <w:pPr>
        <w:pStyle w:val="Heading8"/>
        <w:tabs>
          <w:tab w:val="clear" w:pos="0"/>
        </w:tabs>
        <w:ind w:left="0"/>
        <w:rPr>
          <w:b w:val="0"/>
          <w:bCs w:val="0"/>
        </w:rPr>
      </w:pPr>
      <w:r>
        <w:t>DATES TO REMEMBER FOR CLOSING</w:t>
      </w:r>
    </w:p>
    <w:p w:rsidR="009F08A9" w:rsidRDefault="009F08A9" w:rsidP="00E4586E"/>
    <w:p w:rsidR="00D27623" w:rsidRDefault="00D27623" w:rsidP="00E4586E">
      <w:pPr>
        <w:pStyle w:val="Heading4"/>
      </w:pPr>
      <w:r>
        <w:t xml:space="preserve">Ensure completion of current year ledger reconciliations.  </w:t>
      </w:r>
    </w:p>
    <w:p w:rsidR="00D27623" w:rsidRDefault="00D27623" w:rsidP="00E4586E">
      <w:pPr>
        <w:pStyle w:val="Heading4"/>
      </w:pPr>
    </w:p>
    <w:p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rsidR="00D27623" w:rsidRDefault="00D27623" w:rsidP="00E4586E">
      <w:pPr>
        <w:pStyle w:val="Heading4"/>
      </w:pPr>
    </w:p>
    <w:p w:rsidR="00B7389A" w:rsidRDefault="00D27623" w:rsidP="00E4586E">
      <w:pPr>
        <w:rPr>
          <w:b/>
          <w:bCs/>
          <w:sz w:val="24"/>
        </w:rPr>
      </w:pPr>
      <w:r>
        <w:rPr>
          <w:b/>
          <w:bCs/>
          <w:sz w:val="24"/>
        </w:rPr>
        <w:t>Reconcile May Ledgers by June 2</w:t>
      </w:r>
      <w:r w:rsidR="00393A32">
        <w:rPr>
          <w:b/>
          <w:bCs/>
          <w:sz w:val="24"/>
        </w:rPr>
        <w:t>2nd</w:t>
      </w:r>
      <w:r>
        <w:rPr>
          <w:b/>
          <w:bCs/>
          <w:sz w:val="24"/>
        </w:rPr>
        <w:t>.</w:t>
      </w:r>
    </w:p>
    <w:p w:rsidR="00B7389A" w:rsidRDefault="00B7389A" w:rsidP="00E4586E">
      <w:pPr>
        <w:rPr>
          <w:b/>
          <w:bCs/>
          <w:sz w:val="24"/>
        </w:rPr>
      </w:pPr>
    </w:p>
    <w:p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rsidR="009F08A9" w:rsidRDefault="009F08A9" w:rsidP="00E4586E">
      <w:pPr>
        <w:rPr>
          <w:b/>
          <w:bCs/>
          <w:sz w:val="24"/>
        </w:rPr>
      </w:pPr>
    </w:p>
    <w:p w:rsidR="00D27623" w:rsidRDefault="00D27623" w:rsidP="00E4586E">
      <w:pPr>
        <w:rPr>
          <w:b/>
          <w:bCs/>
          <w:sz w:val="24"/>
        </w:rPr>
      </w:pPr>
      <w:r>
        <w:rPr>
          <w:b/>
          <w:bCs/>
          <w:sz w:val="24"/>
        </w:rPr>
        <w:t>In June, begin reconciliation of June Ledgers.</w:t>
      </w:r>
    </w:p>
    <w:p w:rsidR="00D27623" w:rsidRDefault="00D27623" w:rsidP="00E4586E">
      <w:pPr>
        <w:rPr>
          <w:b/>
          <w:bCs/>
          <w:sz w:val="24"/>
        </w:rPr>
      </w:pPr>
    </w:p>
    <w:p w:rsidR="009F08A9" w:rsidRDefault="00BF11A9" w:rsidP="00E4586E">
      <w:pPr>
        <w:rPr>
          <w:b/>
          <w:bCs/>
          <w:sz w:val="24"/>
        </w:rPr>
      </w:pPr>
      <w:r>
        <w:rPr>
          <w:b/>
          <w:bCs/>
          <w:sz w:val="24"/>
        </w:rPr>
        <w:t xml:space="preserve">July 1 </w:t>
      </w:r>
      <w:r w:rsidR="009F08A9">
        <w:rPr>
          <w:b/>
          <w:bCs/>
          <w:sz w:val="24"/>
        </w:rPr>
        <w:t xml:space="preserve">to </w:t>
      </w:r>
      <w:r w:rsidR="007353B9">
        <w:rPr>
          <w:b/>
          <w:bCs/>
          <w:sz w:val="24"/>
        </w:rPr>
        <w:t xml:space="preserve">July </w:t>
      </w:r>
      <w:r w:rsidR="0095515C">
        <w:rPr>
          <w:b/>
          <w:bCs/>
          <w:sz w:val="24"/>
        </w:rPr>
        <w:t>6</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rsidR="009F08A9" w:rsidRDefault="009F08A9" w:rsidP="00E4586E">
      <w:pPr>
        <w:rPr>
          <w:b/>
          <w:bCs/>
          <w:sz w:val="24"/>
        </w:rPr>
      </w:pPr>
      <w:r>
        <w:rPr>
          <w:b/>
          <w:bCs/>
          <w:sz w:val="24"/>
        </w:rPr>
        <w:t xml:space="preserve">  </w:t>
      </w:r>
    </w:p>
    <w:p w:rsidR="009F08A9" w:rsidRPr="007353B9" w:rsidRDefault="009F08A9" w:rsidP="00E4586E">
      <w:pPr>
        <w:rPr>
          <w:b/>
          <w:bCs/>
          <w:sz w:val="24"/>
          <w:szCs w:val="28"/>
        </w:rPr>
      </w:pPr>
      <w:r w:rsidRPr="007353B9">
        <w:rPr>
          <w:b/>
          <w:bCs/>
          <w:sz w:val="24"/>
          <w:szCs w:val="28"/>
        </w:rPr>
        <w:lastRenderedPageBreak/>
        <w:t xml:space="preserve">See the </w:t>
      </w:r>
      <w:r w:rsidR="00233249">
        <w:rPr>
          <w:b/>
          <w:bCs/>
          <w:sz w:val="24"/>
          <w:szCs w:val="28"/>
        </w:rPr>
        <w:t>FY2020</w:t>
      </w:r>
      <w:r w:rsidR="00B7389A" w:rsidRPr="007353B9">
        <w:rPr>
          <w:b/>
          <w:bCs/>
          <w:sz w:val="24"/>
          <w:szCs w:val="28"/>
        </w:rPr>
        <w:t xml:space="preserve"> Fiscal </w:t>
      </w:r>
      <w:r w:rsidRPr="007353B9">
        <w:rPr>
          <w:b/>
          <w:bCs/>
          <w:sz w:val="24"/>
          <w:szCs w:val="28"/>
        </w:rPr>
        <w:t>Closing Letter for</w:t>
      </w:r>
      <w:r w:rsidR="00B7389A" w:rsidRPr="007353B9">
        <w:rPr>
          <w:b/>
          <w:bCs/>
          <w:sz w:val="24"/>
          <w:szCs w:val="28"/>
        </w:rPr>
        <w:t xml:space="preserve"> </w:t>
      </w:r>
      <w:r w:rsidRPr="007353B9">
        <w:rPr>
          <w:b/>
          <w:bCs/>
          <w:sz w:val="24"/>
          <w:szCs w:val="28"/>
        </w:rPr>
        <w:t>important deadline dates</w:t>
      </w:r>
      <w:r w:rsidR="00B7389A" w:rsidRPr="007353B9">
        <w:rPr>
          <w:b/>
          <w:bCs/>
          <w:sz w:val="24"/>
          <w:szCs w:val="28"/>
        </w:rPr>
        <w:t xml:space="preserve">.  It is available </w:t>
      </w:r>
      <w:r w:rsidR="007353B9" w:rsidRPr="007353B9">
        <w:rPr>
          <w:b/>
          <w:sz w:val="24"/>
        </w:rPr>
        <w:t xml:space="preserve">on Accounting’s website under </w:t>
      </w:r>
      <w:hyperlink r:id="rId11" w:history="1">
        <w:r w:rsidR="0095515C" w:rsidRPr="00AF7FFC">
          <w:rPr>
            <w:rStyle w:val="Hyperlink"/>
            <w:sz w:val="24"/>
          </w:rPr>
          <w:t>Fiscal Year End</w:t>
        </w:r>
      </w:hyperlink>
      <w:r w:rsidR="007353B9" w:rsidRPr="007353B9">
        <w:rPr>
          <w:b/>
          <w:sz w:val="24"/>
        </w:rPr>
        <w:t>.</w:t>
      </w:r>
    </w:p>
    <w:sectPr w:rsidR="009F08A9" w:rsidRPr="007353B9" w:rsidSect="009203D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EB" w:rsidRDefault="000B7AEB">
      <w:r>
        <w:separator/>
      </w:r>
    </w:p>
  </w:endnote>
  <w:endnote w:type="continuationSeparator" w:id="0">
    <w:p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95515C">
      <w:rPr>
        <w:noProof/>
        <w:sz w:val="28"/>
        <w:szCs w:val="28"/>
      </w:rPr>
      <w:t>2</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95515C">
      <w:rPr>
        <w:noProof/>
        <w:sz w:val="28"/>
        <w:szCs w:val="28"/>
      </w:rPr>
      <w:t>6</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EB" w:rsidRDefault="000B7AEB">
      <w:r>
        <w:separator/>
      </w:r>
    </w:p>
  </w:footnote>
  <w:footnote w:type="continuationSeparator" w:id="0">
    <w:p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33249"/>
    <w:rsid w:val="002453A4"/>
    <w:rsid w:val="00245FE5"/>
    <w:rsid w:val="00287380"/>
    <w:rsid w:val="002C1B68"/>
    <w:rsid w:val="002F7F67"/>
    <w:rsid w:val="00300106"/>
    <w:rsid w:val="0030503B"/>
    <w:rsid w:val="00307F1D"/>
    <w:rsid w:val="00350421"/>
    <w:rsid w:val="00354466"/>
    <w:rsid w:val="00391EE0"/>
    <w:rsid w:val="00393A32"/>
    <w:rsid w:val="003B14DA"/>
    <w:rsid w:val="003D4225"/>
    <w:rsid w:val="003D4A02"/>
    <w:rsid w:val="003F0C9E"/>
    <w:rsid w:val="003F5904"/>
    <w:rsid w:val="00400159"/>
    <w:rsid w:val="00412915"/>
    <w:rsid w:val="004403F4"/>
    <w:rsid w:val="00454398"/>
    <w:rsid w:val="0046576C"/>
    <w:rsid w:val="00481CCF"/>
    <w:rsid w:val="004E0CC8"/>
    <w:rsid w:val="004F7E85"/>
    <w:rsid w:val="005028F1"/>
    <w:rsid w:val="0051324B"/>
    <w:rsid w:val="00516488"/>
    <w:rsid w:val="0056188A"/>
    <w:rsid w:val="00587456"/>
    <w:rsid w:val="005C5F03"/>
    <w:rsid w:val="005F59A3"/>
    <w:rsid w:val="0060042F"/>
    <w:rsid w:val="00607994"/>
    <w:rsid w:val="00613F4C"/>
    <w:rsid w:val="0062226D"/>
    <w:rsid w:val="00623FD7"/>
    <w:rsid w:val="006306B6"/>
    <w:rsid w:val="00673A2F"/>
    <w:rsid w:val="006B471D"/>
    <w:rsid w:val="00715503"/>
    <w:rsid w:val="007213BB"/>
    <w:rsid w:val="007221EC"/>
    <w:rsid w:val="007353B9"/>
    <w:rsid w:val="007417EE"/>
    <w:rsid w:val="00765AAF"/>
    <w:rsid w:val="007C7E09"/>
    <w:rsid w:val="007D7A3A"/>
    <w:rsid w:val="00805EF5"/>
    <w:rsid w:val="0081207F"/>
    <w:rsid w:val="0081577E"/>
    <w:rsid w:val="0083279C"/>
    <w:rsid w:val="00841594"/>
    <w:rsid w:val="00847496"/>
    <w:rsid w:val="00853356"/>
    <w:rsid w:val="0086681F"/>
    <w:rsid w:val="00871822"/>
    <w:rsid w:val="00885647"/>
    <w:rsid w:val="008A23FC"/>
    <w:rsid w:val="008B337F"/>
    <w:rsid w:val="008E0C70"/>
    <w:rsid w:val="008E25A0"/>
    <w:rsid w:val="009203DE"/>
    <w:rsid w:val="0095515C"/>
    <w:rsid w:val="00994168"/>
    <w:rsid w:val="009B7368"/>
    <w:rsid w:val="009D3746"/>
    <w:rsid w:val="009E5A48"/>
    <w:rsid w:val="009E65C4"/>
    <w:rsid w:val="009F08A9"/>
    <w:rsid w:val="00A1609B"/>
    <w:rsid w:val="00A170EF"/>
    <w:rsid w:val="00A34EB0"/>
    <w:rsid w:val="00A645CF"/>
    <w:rsid w:val="00A67744"/>
    <w:rsid w:val="00A75F52"/>
    <w:rsid w:val="00A76BC5"/>
    <w:rsid w:val="00AA0547"/>
    <w:rsid w:val="00AB44D4"/>
    <w:rsid w:val="00AD0D15"/>
    <w:rsid w:val="00AF3AC7"/>
    <w:rsid w:val="00AF7FFC"/>
    <w:rsid w:val="00B70242"/>
    <w:rsid w:val="00B7389A"/>
    <w:rsid w:val="00BB6CC2"/>
    <w:rsid w:val="00BC10B4"/>
    <w:rsid w:val="00BF11A9"/>
    <w:rsid w:val="00BF7F0F"/>
    <w:rsid w:val="00C15265"/>
    <w:rsid w:val="00C17CF9"/>
    <w:rsid w:val="00C6392F"/>
    <w:rsid w:val="00C86852"/>
    <w:rsid w:val="00C92317"/>
    <w:rsid w:val="00CA483D"/>
    <w:rsid w:val="00D25829"/>
    <w:rsid w:val="00D27623"/>
    <w:rsid w:val="00D33485"/>
    <w:rsid w:val="00D33B58"/>
    <w:rsid w:val="00D618AD"/>
    <w:rsid w:val="00D84BB6"/>
    <w:rsid w:val="00DA0433"/>
    <w:rsid w:val="00DB0A41"/>
    <w:rsid w:val="00DE4E5B"/>
    <w:rsid w:val="00E04F16"/>
    <w:rsid w:val="00E06840"/>
    <w:rsid w:val="00E115DC"/>
    <w:rsid w:val="00E4586E"/>
    <w:rsid w:val="00E46173"/>
    <w:rsid w:val="00E60730"/>
    <w:rsid w:val="00E71AF7"/>
    <w:rsid w:val="00E71B99"/>
    <w:rsid w:val="00E81E07"/>
    <w:rsid w:val="00E8215D"/>
    <w:rsid w:val="00E965FD"/>
    <w:rsid w:val="00EB62A0"/>
    <w:rsid w:val="00EE6C5C"/>
    <w:rsid w:val="00F23DE8"/>
    <w:rsid w:val="00F407C7"/>
    <w:rsid w:val="00F41050"/>
    <w:rsid w:val="00F51417"/>
    <w:rsid w:val="00F86592"/>
    <w:rsid w:val="00F878BF"/>
    <w:rsid w:val="00FA56DC"/>
    <w:rsid w:val="00FA6B9B"/>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0D95DA"/>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ing.ucr.edu/fiscal-year-end-clos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unting.ucr.edu/fiscal-year-end-clo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ounting.ucr.edu/fiscal-year-end-closing" TargetMode="External"/><Relationship Id="rId4" Type="http://schemas.openxmlformats.org/officeDocument/2006/relationships/settings" Target="settings.xml"/><Relationship Id="rId9" Type="http://schemas.openxmlformats.org/officeDocument/2006/relationships/hyperlink" Target="http://www.accounting.ucr.edu/forms/auxwks.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1E97-42C3-462E-B83B-8B9A22D7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2022</Words>
  <Characters>11508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13503</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Jerry Monahan</cp:lastModifiedBy>
  <cp:revision>4</cp:revision>
  <cp:lastPrinted>2013-05-22T22:41:00Z</cp:lastPrinted>
  <dcterms:created xsi:type="dcterms:W3CDTF">2020-05-11T17:01:00Z</dcterms:created>
  <dcterms:modified xsi:type="dcterms:W3CDTF">2020-05-11T18:35:00Z</dcterms:modified>
</cp:coreProperties>
</file>